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86CC" w14:textId="77777777" w:rsidR="00AB7BA8" w:rsidRDefault="00AB7BA8" w:rsidP="00C36AFC">
      <w:pPr>
        <w:pStyle w:val="Default"/>
        <w:contextualSpacing/>
        <w:rPr>
          <w:rFonts w:asciiTheme="minorHAnsi" w:hAnsiTheme="minorHAnsi" w:cstheme="minorHAnsi"/>
          <w:b/>
          <w:bCs/>
        </w:rPr>
      </w:pPr>
    </w:p>
    <w:p w14:paraId="74AE21AA" w14:textId="77777777" w:rsidR="00AB7BA8" w:rsidRPr="00AB7BA8" w:rsidRDefault="00771F5C" w:rsidP="00C36AFC">
      <w:pPr>
        <w:pStyle w:val="Default"/>
        <w:contextualSpacing/>
        <w:rPr>
          <w:rFonts w:asciiTheme="minorHAnsi" w:hAnsiTheme="minorHAnsi" w:cstheme="minorHAnsi"/>
          <w:b/>
          <w:bCs/>
        </w:rPr>
      </w:pPr>
      <w:r w:rsidRPr="00AB7BA8">
        <w:rPr>
          <w:rFonts w:asciiTheme="minorHAnsi" w:hAnsiTheme="minorHAnsi" w:cstheme="minorHAnsi"/>
          <w:b/>
          <w:bCs/>
        </w:rPr>
        <w:t>WHAT IS A CLINICAL CASE REPORT?</w:t>
      </w:r>
    </w:p>
    <w:p w14:paraId="574E63A1" w14:textId="27F031B5" w:rsidR="00AB7BA8" w:rsidRDefault="00AB7BA8" w:rsidP="00C36AFC">
      <w:pPr>
        <w:pStyle w:val="Default"/>
        <w:jc w:val="both"/>
        <w:rPr>
          <w:rFonts w:asciiTheme="minorHAnsi" w:hAnsiTheme="minorHAnsi" w:cstheme="minorHAnsi"/>
        </w:rPr>
      </w:pPr>
      <w:r w:rsidRPr="00AB7BA8">
        <w:rPr>
          <w:rFonts w:asciiTheme="minorHAnsi" w:hAnsiTheme="minorHAnsi" w:cstheme="minorHAnsi"/>
        </w:rPr>
        <w:t xml:space="preserve">A </w:t>
      </w:r>
      <w:r w:rsidR="00771F5C">
        <w:rPr>
          <w:rFonts w:asciiTheme="minorHAnsi" w:hAnsiTheme="minorHAnsi" w:cstheme="minorHAnsi"/>
        </w:rPr>
        <w:t xml:space="preserve">clinical </w:t>
      </w:r>
      <w:r w:rsidRPr="00AB7BA8">
        <w:rPr>
          <w:rFonts w:asciiTheme="minorHAnsi" w:hAnsiTheme="minorHAnsi" w:cstheme="minorHAnsi"/>
        </w:rPr>
        <w:t xml:space="preserve">case report is a detailed report of the symptoms, signs, diagnosis, treatment, and follow-up of an individual patient. </w:t>
      </w:r>
      <w:r w:rsidR="00771F5C">
        <w:rPr>
          <w:rFonts w:asciiTheme="minorHAnsi" w:hAnsiTheme="minorHAnsi" w:cstheme="minorHAnsi"/>
        </w:rPr>
        <w:t>Clinical c</w:t>
      </w:r>
      <w:r w:rsidRPr="00AB7BA8">
        <w:rPr>
          <w:rFonts w:asciiTheme="minorHAnsi" w:hAnsiTheme="minorHAnsi" w:cstheme="minorHAnsi"/>
        </w:rPr>
        <w:t xml:space="preserve">ase reports usually describe an unusual or novel occurrence and </w:t>
      </w:r>
      <w:r w:rsidR="00E12F04">
        <w:rPr>
          <w:rFonts w:asciiTheme="minorHAnsi" w:hAnsiTheme="minorHAnsi" w:cstheme="minorHAnsi"/>
        </w:rPr>
        <w:t>are integral for</w:t>
      </w:r>
      <w:r w:rsidRPr="00AB7BA8">
        <w:rPr>
          <w:rFonts w:asciiTheme="minorHAnsi" w:hAnsiTheme="minorHAnsi" w:cstheme="minorHAnsi"/>
        </w:rPr>
        <w:t xml:space="preserve"> medical progress. The case report is a </w:t>
      </w:r>
      <w:r w:rsidR="0045024B">
        <w:rPr>
          <w:rFonts w:asciiTheme="minorHAnsi" w:hAnsiTheme="minorHAnsi" w:cstheme="minorHAnsi"/>
        </w:rPr>
        <w:t>succinct</w:t>
      </w:r>
      <w:r w:rsidRPr="00AB7BA8">
        <w:rPr>
          <w:rFonts w:asciiTheme="minorHAnsi" w:hAnsiTheme="minorHAnsi" w:cstheme="minorHAnsi"/>
        </w:rPr>
        <w:t xml:space="preserve"> communication between busy clinicians who may not have time or resources to conduct large scale research.</w:t>
      </w:r>
      <w:r w:rsidR="00E12F04">
        <w:rPr>
          <w:rFonts w:asciiTheme="minorHAnsi" w:hAnsiTheme="minorHAnsi" w:cstheme="minorHAnsi"/>
        </w:rPr>
        <w:t xml:space="preserve"> There are numerous guides available online regarding the structure of a case report. Core </w:t>
      </w:r>
      <w:r w:rsidR="0045024B">
        <w:rPr>
          <w:rFonts w:asciiTheme="minorHAnsi" w:hAnsiTheme="minorHAnsi" w:cstheme="minorHAnsi"/>
        </w:rPr>
        <w:t xml:space="preserve">case report </w:t>
      </w:r>
      <w:r w:rsidR="00E12F04">
        <w:rPr>
          <w:rFonts w:asciiTheme="minorHAnsi" w:hAnsiTheme="minorHAnsi" w:cstheme="minorHAnsi"/>
        </w:rPr>
        <w:t>subheadings might include Consent, Abstract, Introduction, Case Study, Discussion, Conclusion, Acknowledgements, Conflicts of Interest, References</w:t>
      </w:r>
      <w:r w:rsidR="0045024B">
        <w:rPr>
          <w:rFonts w:asciiTheme="minorHAnsi" w:hAnsiTheme="minorHAnsi" w:cstheme="minorHAnsi"/>
        </w:rPr>
        <w:t xml:space="preserve"> / Literature Review</w:t>
      </w:r>
      <w:r w:rsidR="00E12F04">
        <w:rPr>
          <w:rFonts w:asciiTheme="minorHAnsi" w:hAnsiTheme="minorHAnsi" w:cstheme="minorHAnsi"/>
        </w:rPr>
        <w:t>. Some journals will supply their own template.</w:t>
      </w:r>
    </w:p>
    <w:p w14:paraId="7550EE7A" w14:textId="77777777" w:rsidR="002A6820" w:rsidRDefault="002A6820" w:rsidP="00C36AFC">
      <w:pPr>
        <w:pStyle w:val="Default"/>
        <w:jc w:val="both"/>
        <w:rPr>
          <w:rFonts w:asciiTheme="minorHAnsi" w:hAnsiTheme="minorHAnsi" w:cstheme="minorHAnsi"/>
        </w:rPr>
      </w:pPr>
    </w:p>
    <w:p w14:paraId="3CD9BA1A" w14:textId="77777777" w:rsidR="002A6820" w:rsidRPr="00AB7BA8" w:rsidRDefault="002A6820" w:rsidP="002A6820">
      <w:pPr>
        <w:pStyle w:val="Default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WHY JOURNALS PUBLISH CLINICAL CASE REPORTS</w:t>
      </w:r>
    </w:p>
    <w:p w14:paraId="07C553FC" w14:textId="77777777" w:rsidR="002A6820" w:rsidRPr="00AB7BA8" w:rsidRDefault="002A6820" w:rsidP="002A6820">
      <w:pPr>
        <w:pStyle w:val="Default"/>
        <w:jc w:val="both"/>
        <w:rPr>
          <w:rFonts w:asciiTheme="minorHAnsi" w:hAnsiTheme="minorHAnsi" w:cstheme="minorHAnsi"/>
        </w:rPr>
      </w:pPr>
      <w:r w:rsidRPr="00AB7BA8">
        <w:rPr>
          <w:rFonts w:asciiTheme="minorHAnsi" w:hAnsiTheme="minorHAnsi" w:cstheme="minorHAnsi"/>
        </w:rPr>
        <w:t xml:space="preserve">Reasons </w:t>
      </w:r>
      <w:r>
        <w:rPr>
          <w:rFonts w:asciiTheme="minorHAnsi" w:hAnsiTheme="minorHAnsi" w:cstheme="minorHAnsi"/>
        </w:rPr>
        <w:t>include:</w:t>
      </w:r>
    </w:p>
    <w:p w14:paraId="3833AA89" w14:textId="77777777" w:rsidR="002A6820" w:rsidRPr="00AB7BA8" w:rsidRDefault="002A6820" w:rsidP="002A68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7BA8">
        <w:rPr>
          <w:rFonts w:asciiTheme="minorHAnsi" w:hAnsiTheme="minorHAnsi" w:cstheme="minorHAnsi"/>
        </w:rPr>
        <w:t xml:space="preserve">An unexpected association between diseases or </w:t>
      </w:r>
      <w:proofErr w:type="gramStart"/>
      <w:r w:rsidRPr="00AB7BA8">
        <w:rPr>
          <w:rFonts w:asciiTheme="minorHAnsi" w:hAnsiTheme="minorHAnsi" w:cstheme="minorHAnsi"/>
        </w:rPr>
        <w:t>symptoms;</w:t>
      </w:r>
      <w:proofErr w:type="gramEnd"/>
      <w:r w:rsidRPr="00AB7BA8">
        <w:rPr>
          <w:rFonts w:asciiTheme="minorHAnsi" w:hAnsiTheme="minorHAnsi" w:cstheme="minorHAnsi"/>
        </w:rPr>
        <w:t xml:space="preserve"> </w:t>
      </w:r>
    </w:p>
    <w:p w14:paraId="31222841" w14:textId="77777777" w:rsidR="002A6820" w:rsidRPr="00AB7BA8" w:rsidRDefault="002A6820" w:rsidP="002A68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7BA8">
        <w:rPr>
          <w:rFonts w:asciiTheme="minorHAnsi" w:hAnsiTheme="minorHAnsi" w:cstheme="minorHAnsi"/>
        </w:rPr>
        <w:t xml:space="preserve">An unexpected event </w:t>
      </w:r>
      <w:proofErr w:type="gramStart"/>
      <w:r w:rsidRPr="00AB7BA8">
        <w:rPr>
          <w:rFonts w:asciiTheme="minorHAnsi" w:hAnsiTheme="minorHAnsi" w:cstheme="minorHAnsi"/>
        </w:rPr>
        <w:t>in the course of</w:t>
      </w:r>
      <w:proofErr w:type="gramEnd"/>
      <w:r w:rsidRPr="00AB7BA8">
        <w:rPr>
          <w:rFonts w:asciiTheme="minorHAnsi" w:hAnsiTheme="minorHAnsi" w:cstheme="minorHAnsi"/>
        </w:rPr>
        <w:t xml:space="preserve"> observing or treating a </w:t>
      </w:r>
      <w:proofErr w:type="gramStart"/>
      <w:r w:rsidRPr="00AB7BA8">
        <w:rPr>
          <w:rFonts w:asciiTheme="minorHAnsi" w:hAnsiTheme="minorHAnsi" w:cstheme="minorHAnsi"/>
        </w:rPr>
        <w:t>patient;</w:t>
      </w:r>
      <w:proofErr w:type="gramEnd"/>
      <w:r w:rsidRPr="00AB7BA8">
        <w:rPr>
          <w:rFonts w:asciiTheme="minorHAnsi" w:hAnsiTheme="minorHAnsi" w:cstheme="minorHAnsi"/>
        </w:rPr>
        <w:t xml:space="preserve"> </w:t>
      </w:r>
    </w:p>
    <w:p w14:paraId="066F2154" w14:textId="3CBD0DD5" w:rsidR="002A6820" w:rsidRPr="00AB7BA8" w:rsidRDefault="002A6820" w:rsidP="002A68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7BA8">
        <w:rPr>
          <w:rFonts w:asciiTheme="minorHAnsi" w:hAnsiTheme="minorHAnsi" w:cstheme="minorHAnsi"/>
        </w:rPr>
        <w:t xml:space="preserve">Findings that </w:t>
      </w:r>
      <w:r w:rsidR="0090197A">
        <w:rPr>
          <w:rFonts w:asciiTheme="minorHAnsi" w:hAnsiTheme="minorHAnsi" w:cstheme="minorHAnsi"/>
        </w:rPr>
        <w:t>provide</w:t>
      </w:r>
      <w:r w:rsidR="0090197A" w:rsidRPr="00AB7BA8">
        <w:rPr>
          <w:rFonts w:asciiTheme="minorHAnsi" w:hAnsiTheme="minorHAnsi" w:cstheme="minorHAnsi"/>
        </w:rPr>
        <w:t xml:space="preserve"> </w:t>
      </w:r>
      <w:r w:rsidRPr="00AB7BA8">
        <w:rPr>
          <w:rFonts w:asciiTheme="minorHAnsi" w:hAnsiTheme="minorHAnsi" w:cstheme="minorHAnsi"/>
        </w:rPr>
        <w:t xml:space="preserve">new light on the possible pathogenesis of a disease or an adverse </w:t>
      </w:r>
      <w:proofErr w:type="gramStart"/>
      <w:r w:rsidRPr="00AB7BA8">
        <w:rPr>
          <w:rFonts w:asciiTheme="minorHAnsi" w:hAnsiTheme="minorHAnsi" w:cstheme="minorHAnsi"/>
        </w:rPr>
        <w:t>effect;</w:t>
      </w:r>
      <w:proofErr w:type="gramEnd"/>
      <w:r w:rsidRPr="00AB7BA8">
        <w:rPr>
          <w:rFonts w:asciiTheme="minorHAnsi" w:hAnsiTheme="minorHAnsi" w:cstheme="minorHAnsi"/>
        </w:rPr>
        <w:t xml:space="preserve"> </w:t>
      </w:r>
    </w:p>
    <w:p w14:paraId="705E5394" w14:textId="77777777" w:rsidR="002A6820" w:rsidRPr="00AB7BA8" w:rsidRDefault="002A6820" w:rsidP="002A68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7BA8">
        <w:rPr>
          <w:rFonts w:asciiTheme="minorHAnsi" w:hAnsiTheme="minorHAnsi" w:cstheme="minorHAnsi"/>
        </w:rPr>
        <w:t xml:space="preserve">Unique or rare features of a </w:t>
      </w:r>
      <w:proofErr w:type="gramStart"/>
      <w:r w:rsidRPr="00AB7BA8">
        <w:rPr>
          <w:rFonts w:asciiTheme="minorHAnsi" w:hAnsiTheme="minorHAnsi" w:cstheme="minorHAnsi"/>
        </w:rPr>
        <w:t>disease;</w:t>
      </w:r>
      <w:proofErr w:type="gramEnd"/>
      <w:r w:rsidRPr="00AB7BA8">
        <w:rPr>
          <w:rFonts w:asciiTheme="minorHAnsi" w:hAnsiTheme="minorHAnsi" w:cstheme="minorHAnsi"/>
        </w:rPr>
        <w:t xml:space="preserve"> </w:t>
      </w:r>
    </w:p>
    <w:p w14:paraId="6DB93A37" w14:textId="77777777" w:rsidR="002A6820" w:rsidRDefault="002A6820" w:rsidP="002A68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7BA8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nique therapeutic </w:t>
      </w:r>
      <w:proofErr w:type="gramStart"/>
      <w:r>
        <w:rPr>
          <w:rFonts w:asciiTheme="minorHAnsi" w:hAnsiTheme="minorHAnsi" w:cstheme="minorHAnsi"/>
        </w:rPr>
        <w:t>approaches;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75FB4E15" w14:textId="77777777" w:rsidR="002A6820" w:rsidRDefault="002A6820" w:rsidP="002A68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817A7">
        <w:rPr>
          <w:rFonts w:asciiTheme="minorHAnsi" w:hAnsiTheme="minorHAnsi" w:cstheme="minorHAnsi"/>
        </w:rPr>
        <w:t xml:space="preserve">Unusual combination of conditions leading to </w:t>
      </w:r>
      <w:proofErr w:type="gramStart"/>
      <w:r w:rsidRPr="009817A7">
        <w:rPr>
          <w:rFonts w:asciiTheme="minorHAnsi" w:hAnsiTheme="minorHAnsi" w:cstheme="minorHAnsi"/>
        </w:rPr>
        <w:t>confusion</w:t>
      </w:r>
      <w:r>
        <w:rPr>
          <w:rFonts w:asciiTheme="minorHAnsi" w:hAnsiTheme="minorHAnsi" w:cstheme="minorHAnsi"/>
        </w:rPr>
        <w:t>;</w:t>
      </w:r>
      <w:proofErr w:type="gramEnd"/>
    </w:p>
    <w:p w14:paraId="44EF7071" w14:textId="77777777" w:rsidR="002A6820" w:rsidRDefault="002A6820" w:rsidP="002A68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817A7">
        <w:rPr>
          <w:rFonts w:asciiTheme="minorHAnsi" w:hAnsiTheme="minorHAnsi" w:cstheme="minorHAnsi"/>
        </w:rPr>
        <w:t>Illustration of a new theory</w:t>
      </w:r>
      <w:r>
        <w:rPr>
          <w:rFonts w:asciiTheme="minorHAnsi" w:hAnsiTheme="minorHAnsi" w:cstheme="minorHAnsi"/>
        </w:rPr>
        <w:t xml:space="preserve"> or q</w:t>
      </w:r>
      <w:r w:rsidRPr="009817A7">
        <w:rPr>
          <w:rFonts w:asciiTheme="minorHAnsi" w:hAnsiTheme="minorHAnsi" w:cstheme="minorHAnsi"/>
        </w:rPr>
        <w:t>uestion</w:t>
      </w:r>
      <w:r>
        <w:rPr>
          <w:rFonts w:asciiTheme="minorHAnsi" w:hAnsiTheme="minorHAnsi" w:cstheme="minorHAnsi"/>
        </w:rPr>
        <w:t>s</w:t>
      </w:r>
      <w:r w:rsidRPr="009817A7">
        <w:rPr>
          <w:rFonts w:asciiTheme="minorHAnsi" w:hAnsiTheme="minorHAnsi" w:cstheme="minorHAnsi"/>
        </w:rPr>
        <w:t xml:space="preserve"> regarding a current theory</w:t>
      </w:r>
      <w:r>
        <w:rPr>
          <w:rFonts w:asciiTheme="minorHAnsi" w:hAnsiTheme="minorHAnsi" w:cstheme="minorHAnsi"/>
        </w:rPr>
        <w:t>; or</w:t>
      </w:r>
    </w:p>
    <w:p w14:paraId="30B97FC9" w14:textId="77777777" w:rsidR="002A6820" w:rsidRPr="009817A7" w:rsidRDefault="002A6820" w:rsidP="002A68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817A7">
        <w:rPr>
          <w:rFonts w:asciiTheme="minorHAnsi" w:hAnsiTheme="minorHAnsi" w:cstheme="minorHAnsi"/>
        </w:rPr>
        <w:t>Personal impact</w:t>
      </w:r>
      <w:r>
        <w:rPr>
          <w:rFonts w:asciiTheme="minorHAnsi" w:hAnsiTheme="minorHAnsi" w:cstheme="minorHAnsi"/>
        </w:rPr>
        <w:t>.</w:t>
      </w:r>
    </w:p>
    <w:p w14:paraId="5768089A" w14:textId="77777777" w:rsidR="00C36AFC" w:rsidRPr="00AB7BA8" w:rsidRDefault="00C36AFC" w:rsidP="00C36AFC">
      <w:pPr>
        <w:pStyle w:val="Default"/>
        <w:jc w:val="both"/>
        <w:rPr>
          <w:rFonts w:asciiTheme="minorHAnsi" w:hAnsiTheme="minorHAnsi" w:cstheme="minorHAnsi"/>
        </w:rPr>
      </w:pPr>
    </w:p>
    <w:p w14:paraId="4D1ED9D4" w14:textId="77777777" w:rsidR="00AB7BA8" w:rsidRPr="00AB7BA8" w:rsidRDefault="00771F5C" w:rsidP="00C36AFC">
      <w:pPr>
        <w:pStyle w:val="Default"/>
        <w:contextualSpacing/>
        <w:rPr>
          <w:rFonts w:asciiTheme="minorHAnsi" w:hAnsiTheme="minorHAnsi" w:cstheme="minorHAnsi"/>
          <w:b/>
        </w:rPr>
      </w:pPr>
      <w:r w:rsidRPr="00AB7BA8">
        <w:rPr>
          <w:rFonts w:asciiTheme="minorHAnsi" w:hAnsiTheme="minorHAnsi" w:cstheme="minorHAnsi"/>
          <w:b/>
        </w:rPr>
        <w:t>ETHICAL CONSIDERATIONS</w:t>
      </w:r>
    </w:p>
    <w:p w14:paraId="33978AB5" w14:textId="71DD2697" w:rsidR="00C36AFC" w:rsidRDefault="00771F5C" w:rsidP="00C36AFC">
      <w:pPr>
        <w:pStyle w:val="Defaul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clinical </w:t>
      </w:r>
      <w:r w:rsidR="00977CD7">
        <w:rPr>
          <w:rFonts w:asciiTheme="minorHAnsi" w:hAnsiTheme="minorHAnsi" w:cstheme="minorHAnsi"/>
        </w:rPr>
        <w:t>case report</w:t>
      </w:r>
      <w:r w:rsidR="00AB7BA8" w:rsidRPr="00AB7BA8">
        <w:rPr>
          <w:rFonts w:asciiTheme="minorHAnsi" w:hAnsiTheme="minorHAnsi" w:cstheme="minorHAnsi"/>
        </w:rPr>
        <w:t xml:space="preserve"> is exempt from Human Research Ethics Committee (HREC) review</w:t>
      </w:r>
      <w:r w:rsidR="00977CD7">
        <w:rPr>
          <w:rFonts w:asciiTheme="minorHAnsi" w:hAnsiTheme="minorHAnsi" w:cstheme="minorHAnsi"/>
        </w:rPr>
        <w:t xml:space="preserve">, </w:t>
      </w:r>
      <w:r w:rsidR="000D2AF6">
        <w:rPr>
          <w:rFonts w:asciiTheme="minorHAnsi" w:hAnsiTheme="minorHAnsi" w:cstheme="minorHAnsi"/>
        </w:rPr>
        <w:t>however,</w:t>
      </w:r>
      <w:r w:rsidR="00AB7BA8" w:rsidRPr="00AB7BA8">
        <w:rPr>
          <w:rFonts w:asciiTheme="minorHAnsi" w:hAnsiTheme="minorHAnsi" w:cstheme="minorHAnsi"/>
        </w:rPr>
        <w:t xml:space="preserve"> still requires notification to, ethical review of, and acknowledgement by</w:t>
      </w:r>
      <w:r w:rsidR="0090197A">
        <w:rPr>
          <w:rFonts w:asciiTheme="minorHAnsi" w:hAnsiTheme="minorHAnsi" w:cstheme="minorHAnsi"/>
        </w:rPr>
        <w:t>,</w:t>
      </w:r>
      <w:r w:rsidR="00AB7BA8" w:rsidRPr="00AB7BA8">
        <w:rPr>
          <w:rFonts w:asciiTheme="minorHAnsi" w:hAnsiTheme="minorHAnsi" w:cstheme="minorHAnsi"/>
        </w:rPr>
        <w:t xml:space="preserve"> the Cabrini Research Governance Office (CRGO).  </w:t>
      </w:r>
      <w:r w:rsidR="00977CD7">
        <w:rPr>
          <w:rFonts w:asciiTheme="minorHAnsi" w:hAnsiTheme="minorHAnsi" w:cstheme="minorHAnsi"/>
        </w:rPr>
        <w:t xml:space="preserve">This process must occur prior to journal submission. </w:t>
      </w:r>
    </w:p>
    <w:p w14:paraId="57B122C9" w14:textId="77777777" w:rsidR="00C36AFC" w:rsidRDefault="00C36AFC" w:rsidP="00C36AFC">
      <w:pPr>
        <w:pStyle w:val="Default"/>
        <w:contextualSpacing/>
        <w:rPr>
          <w:rFonts w:asciiTheme="minorHAnsi" w:hAnsiTheme="minorHAnsi" w:cstheme="minorHAnsi"/>
        </w:rPr>
      </w:pPr>
    </w:p>
    <w:p w14:paraId="41905B7A" w14:textId="77777777" w:rsidR="009560B2" w:rsidRPr="009560B2" w:rsidRDefault="009560B2" w:rsidP="00C36AFC">
      <w:pPr>
        <w:pStyle w:val="Default"/>
        <w:contextualSpacing/>
        <w:rPr>
          <w:rFonts w:asciiTheme="minorHAnsi" w:hAnsiTheme="minorHAnsi" w:cstheme="minorHAnsi"/>
          <w:b/>
        </w:rPr>
      </w:pPr>
      <w:r w:rsidRPr="009560B2">
        <w:rPr>
          <w:rFonts w:asciiTheme="minorHAnsi" w:hAnsiTheme="minorHAnsi" w:cstheme="minorHAnsi"/>
          <w:b/>
        </w:rPr>
        <w:t>GOVERNANCE</w:t>
      </w:r>
    </w:p>
    <w:p w14:paraId="5A1224B8" w14:textId="77777777" w:rsidR="009560B2" w:rsidRPr="006C1691" w:rsidRDefault="009560B2" w:rsidP="00C36AFC">
      <w:pPr>
        <w:pStyle w:val="Default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The specialty lead or head of craft group must authorise submission of a clinical case</w:t>
      </w:r>
      <w:r w:rsidR="006C1691">
        <w:rPr>
          <w:rFonts w:asciiTheme="minorHAnsi" w:hAnsiTheme="minorHAnsi" w:cstheme="minorHAnsi"/>
        </w:rPr>
        <w:t xml:space="preserve"> report for journal submission via Cabrini’s </w:t>
      </w:r>
      <w:r w:rsidR="006C1691" w:rsidRPr="001B14F0">
        <w:rPr>
          <w:rFonts w:asciiTheme="minorHAnsi" w:hAnsiTheme="minorHAnsi" w:cstheme="minorHAnsi"/>
          <w:b/>
          <w:color w:val="C00000"/>
        </w:rPr>
        <w:t>Patient Consent Form for Publication of a Clinical Case Report</w:t>
      </w:r>
      <w:r w:rsidR="006C1691">
        <w:rPr>
          <w:rFonts w:asciiTheme="minorHAnsi" w:hAnsiTheme="minorHAnsi" w:cstheme="minorHAnsi"/>
          <w:color w:val="000000" w:themeColor="text1"/>
        </w:rPr>
        <w:t>.</w:t>
      </w:r>
    </w:p>
    <w:p w14:paraId="0517990A" w14:textId="77777777" w:rsidR="009560B2" w:rsidRDefault="009560B2" w:rsidP="00C36AFC">
      <w:pPr>
        <w:pStyle w:val="Default"/>
        <w:contextualSpacing/>
        <w:rPr>
          <w:rFonts w:asciiTheme="minorHAnsi" w:hAnsiTheme="minorHAnsi" w:cstheme="minorHAnsi"/>
        </w:rPr>
      </w:pPr>
    </w:p>
    <w:p w14:paraId="7556C136" w14:textId="77777777" w:rsidR="00D60D62" w:rsidRPr="009817A7" w:rsidRDefault="00D60D62" w:rsidP="00C36AFC">
      <w:pPr>
        <w:pStyle w:val="Default"/>
        <w:contextualSpacing/>
        <w:rPr>
          <w:rFonts w:asciiTheme="minorHAnsi" w:hAnsiTheme="minorHAnsi" w:cstheme="minorHAnsi"/>
          <w:b/>
        </w:rPr>
      </w:pPr>
      <w:r w:rsidRPr="009817A7">
        <w:rPr>
          <w:rFonts w:asciiTheme="minorHAnsi" w:hAnsiTheme="minorHAnsi" w:cstheme="minorHAnsi"/>
          <w:b/>
        </w:rPr>
        <w:t>CONSENT</w:t>
      </w:r>
    </w:p>
    <w:p w14:paraId="1C3F37BF" w14:textId="7ABF39E1" w:rsidR="001B14F0" w:rsidRDefault="00977CD7" w:rsidP="00D60D62">
      <w:pPr>
        <w:pStyle w:val="Defaul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requesting clinician (named author) must</w:t>
      </w:r>
      <w:r w:rsidR="003477B7">
        <w:rPr>
          <w:rFonts w:asciiTheme="minorHAnsi" w:hAnsiTheme="minorHAnsi" w:cstheme="minorHAnsi"/>
        </w:rPr>
        <w:t xml:space="preserve"> </w:t>
      </w:r>
      <w:r w:rsidR="00AB7BA8" w:rsidRPr="00AB7BA8">
        <w:rPr>
          <w:rFonts w:asciiTheme="minorHAnsi" w:hAnsiTheme="minorHAnsi" w:cstheme="minorHAnsi"/>
        </w:rPr>
        <w:t>ga</w:t>
      </w:r>
      <w:r w:rsidR="00771F5C">
        <w:rPr>
          <w:rFonts w:asciiTheme="minorHAnsi" w:hAnsiTheme="minorHAnsi" w:cstheme="minorHAnsi"/>
        </w:rPr>
        <w:t xml:space="preserve">in patient </w:t>
      </w:r>
      <w:r w:rsidR="00AB7BA8" w:rsidRPr="00AB7BA8">
        <w:rPr>
          <w:rFonts w:asciiTheme="minorHAnsi" w:hAnsiTheme="minorHAnsi" w:cstheme="minorHAnsi"/>
        </w:rPr>
        <w:t>consent</w:t>
      </w:r>
      <w:r w:rsidR="00C36AFC">
        <w:rPr>
          <w:rFonts w:asciiTheme="minorHAnsi" w:hAnsiTheme="minorHAnsi" w:cstheme="minorHAnsi"/>
        </w:rPr>
        <w:t xml:space="preserve"> </w:t>
      </w:r>
      <w:proofErr w:type="gramStart"/>
      <w:r w:rsidR="00C36AFC">
        <w:rPr>
          <w:rFonts w:asciiTheme="minorHAnsi" w:hAnsiTheme="minorHAnsi" w:cstheme="minorHAnsi"/>
        </w:rPr>
        <w:t>in order to</w:t>
      </w:r>
      <w:proofErr w:type="gramEnd"/>
      <w:r w:rsidR="00C36AFC">
        <w:rPr>
          <w:rFonts w:asciiTheme="minorHAnsi" w:hAnsiTheme="minorHAnsi" w:cstheme="minorHAnsi"/>
        </w:rPr>
        <w:t xml:space="preserve"> publish a clinical case report</w:t>
      </w:r>
      <w:r w:rsidR="00AB7BA8" w:rsidRPr="00AB7BA8">
        <w:rPr>
          <w:rFonts w:asciiTheme="minorHAnsi" w:hAnsiTheme="minorHAnsi" w:cstheme="minorHAnsi"/>
        </w:rPr>
        <w:t>.</w:t>
      </w:r>
      <w:r w:rsidR="00771F5C">
        <w:rPr>
          <w:rFonts w:asciiTheme="minorHAnsi" w:hAnsiTheme="minorHAnsi" w:cstheme="minorHAnsi"/>
        </w:rPr>
        <w:t xml:space="preserve"> If the patient is a minor, </w:t>
      </w:r>
      <w:r w:rsidR="003477B7">
        <w:rPr>
          <w:rFonts w:asciiTheme="minorHAnsi" w:hAnsiTheme="minorHAnsi" w:cstheme="minorHAnsi"/>
        </w:rPr>
        <w:t>consent from</w:t>
      </w:r>
      <w:r w:rsidR="00771F5C">
        <w:rPr>
          <w:rFonts w:asciiTheme="minorHAnsi" w:hAnsiTheme="minorHAnsi" w:cstheme="minorHAnsi"/>
        </w:rPr>
        <w:t xml:space="preserve"> their parent or legal guardian must be sought. If the patient </w:t>
      </w:r>
      <w:r w:rsidR="00404C14">
        <w:rPr>
          <w:rFonts w:asciiTheme="minorHAnsi" w:hAnsiTheme="minorHAnsi" w:cstheme="minorHAnsi"/>
        </w:rPr>
        <w:t>is an adult without decision making capacity or</w:t>
      </w:r>
      <w:r w:rsidR="000D2AF6">
        <w:rPr>
          <w:rFonts w:asciiTheme="minorHAnsi" w:hAnsiTheme="minorHAnsi" w:cstheme="minorHAnsi"/>
        </w:rPr>
        <w:t xml:space="preserve"> is deceased</w:t>
      </w:r>
      <w:r w:rsidR="00771F5C">
        <w:rPr>
          <w:rFonts w:asciiTheme="minorHAnsi" w:hAnsiTheme="minorHAnsi" w:cstheme="minorHAnsi"/>
        </w:rPr>
        <w:t>, the</w:t>
      </w:r>
      <w:r w:rsidR="00656078">
        <w:rPr>
          <w:rFonts w:asciiTheme="minorHAnsi" w:hAnsiTheme="minorHAnsi" w:cstheme="minorHAnsi"/>
        </w:rPr>
        <w:t xml:space="preserve"> person with authority to consent on the patient’s behalf</w:t>
      </w:r>
      <w:r w:rsidR="003477B7">
        <w:rPr>
          <w:rFonts w:asciiTheme="minorHAnsi" w:hAnsiTheme="minorHAnsi" w:cstheme="minorHAnsi"/>
        </w:rPr>
        <w:t xml:space="preserve"> should be contacted for consent</w:t>
      </w:r>
      <w:r>
        <w:rPr>
          <w:rFonts w:asciiTheme="minorHAnsi" w:hAnsiTheme="minorHAnsi" w:cstheme="minorHAnsi"/>
        </w:rPr>
        <w:t>.</w:t>
      </w:r>
      <w:r w:rsidR="000D2AF6">
        <w:rPr>
          <w:rFonts w:asciiTheme="minorHAnsi" w:hAnsiTheme="minorHAnsi" w:cstheme="minorHAnsi"/>
        </w:rPr>
        <w:t xml:space="preserve"> Interpreters should be provided as needed. </w:t>
      </w:r>
      <w:r w:rsidR="00C36AFC">
        <w:rPr>
          <w:rFonts w:asciiTheme="minorHAnsi" w:hAnsiTheme="minorHAnsi" w:cstheme="minorHAnsi"/>
        </w:rPr>
        <w:t>If the requesting clinician is unable to obtain consent from</w:t>
      </w:r>
      <w:r w:rsidR="000D2AF6">
        <w:rPr>
          <w:rFonts w:asciiTheme="minorHAnsi" w:hAnsiTheme="minorHAnsi" w:cstheme="minorHAnsi"/>
        </w:rPr>
        <w:t xml:space="preserve"> a</w:t>
      </w:r>
      <w:r w:rsidR="00C36AFC">
        <w:rPr>
          <w:rFonts w:asciiTheme="minorHAnsi" w:hAnsiTheme="minorHAnsi" w:cstheme="minorHAnsi"/>
        </w:rPr>
        <w:t xml:space="preserve"> </w:t>
      </w:r>
      <w:r w:rsidR="003477B7">
        <w:rPr>
          <w:rFonts w:asciiTheme="minorHAnsi" w:hAnsiTheme="minorHAnsi" w:cstheme="minorHAnsi"/>
        </w:rPr>
        <w:t xml:space="preserve">parent / </w:t>
      </w:r>
      <w:r w:rsidR="00C36AFC">
        <w:rPr>
          <w:rFonts w:asciiTheme="minorHAnsi" w:hAnsiTheme="minorHAnsi" w:cstheme="minorHAnsi"/>
        </w:rPr>
        <w:t xml:space="preserve">guardian or </w:t>
      </w:r>
      <w:r w:rsidR="00656078">
        <w:rPr>
          <w:rFonts w:asciiTheme="minorHAnsi" w:hAnsiTheme="minorHAnsi" w:cstheme="minorHAnsi"/>
        </w:rPr>
        <w:t>person with authority to consent on the patient’s behalf</w:t>
      </w:r>
      <w:r w:rsidR="00C36AFC">
        <w:rPr>
          <w:rFonts w:asciiTheme="minorHAnsi" w:hAnsiTheme="minorHAnsi" w:cstheme="minorHAnsi"/>
        </w:rPr>
        <w:t xml:space="preserve">, Cabrini’s Group Director of Medical Services and Cabrini’s legal counsel must </w:t>
      </w:r>
      <w:r w:rsidR="00D60D62">
        <w:rPr>
          <w:rFonts w:asciiTheme="minorHAnsi" w:hAnsiTheme="minorHAnsi" w:cstheme="minorHAnsi"/>
        </w:rPr>
        <w:t xml:space="preserve">be satisfied </w:t>
      </w:r>
      <w:r w:rsidR="00D60D62" w:rsidRPr="00AB7BA8">
        <w:rPr>
          <w:rFonts w:asciiTheme="minorHAnsi" w:hAnsiTheme="minorHAnsi" w:cstheme="minorHAnsi"/>
        </w:rPr>
        <w:t xml:space="preserve">that exhaustive attempts have been made to contact the family and that the paper has been sufficiently </w:t>
      </w:r>
      <w:r w:rsidR="00404C14">
        <w:rPr>
          <w:rFonts w:asciiTheme="minorHAnsi" w:hAnsiTheme="minorHAnsi" w:cstheme="minorHAnsi"/>
        </w:rPr>
        <w:t>deidentified</w:t>
      </w:r>
      <w:r w:rsidR="000D2AF6">
        <w:rPr>
          <w:rFonts w:asciiTheme="minorHAnsi" w:hAnsiTheme="minorHAnsi" w:cstheme="minorHAnsi"/>
        </w:rPr>
        <w:t xml:space="preserve"> so as</w:t>
      </w:r>
      <w:r w:rsidR="00404C14" w:rsidRPr="00AB7BA8">
        <w:rPr>
          <w:rFonts w:asciiTheme="minorHAnsi" w:hAnsiTheme="minorHAnsi" w:cstheme="minorHAnsi"/>
        </w:rPr>
        <w:t xml:space="preserve"> </w:t>
      </w:r>
      <w:r w:rsidR="00D60D62" w:rsidRPr="00AB7BA8">
        <w:rPr>
          <w:rFonts w:asciiTheme="minorHAnsi" w:hAnsiTheme="minorHAnsi" w:cstheme="minorHAnsi"/>
        </w:rPr>
        <w:t>not to cause harm to the patient’s family.</w:t>
      </w:r>
      <w:r w:rsidR="00404C14">
        <w:rPr>
          <w:rFonts w:asciiTheme="minorHAnsi" w:hAnsiTheme="minorHAnsi" w:cstheme="minorHAnsi"/>
        </w:rPr>
        <w:t xml:space="preserve"> </w:t>
      </w:r>
    </w:p>
    <w:p w14:paraId="404A4911" w14:textId="77777777" w:rsidR="001B14F0" w:rsidRDefault="001B14F0" w:rsidP="00D60D62">
      <w:pPr>
        <w:pStyle w:val="Default"/>
        <w:contextualSpacing/>
        <w:rPr>
          <w:rFonts w:asciiTheme="minorHAnsi" w:hAnsiTheme="minorHAnsi" w:cstheme="minorHAnsi"/>
        </w:rPr>
      </w:pPr>
    </w:p>
    <w:p w14:paraId="7CE1F13B" w14:textId="427F9631" w:rsidR="00D60D62" w:rsidRDefault="001B14F0" w:rsidP="00D60D62">
      <w:pPr>
        <w:pStyle w:val="Defaul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Whilst use of Cabrini’s </w:t>
      </w:r>
      <w:r w:rsidRPr="001B14F0">
        <w:rPr>
          <w:rFonts w:asciiTheme="minorHAnsi" w:hAnsiTheme="minorHAnsi" w:cstheme="minorHAnsi"/>
          <w:b/>
          <w:color w:val="C00000"/>
        </w:rPr>
        <w:t xml:space="preserve">Patient Consent Form for Publication of a Clinical Case Report </w:t>
      </w:r>
      <w:r>
        <w:rPr>
          <w:rFonts w:asciiTheme="minorHAnsi" w:hAnsiTheme="minorHAnsi" w:cstheme="minorHAnsi"/>
        </w:rPr>
        <w:t>is preferred, some journals (</w:t>
      </w:r>
      <w:r w:rsidR="007E05CE">
        <w:rPr>
          <w:rFonts w:asciiTheme="minorHAnsi" w:hAnsiTheme="minorHAnsi" w:cstheme="minorHAnsi"/>
        </w:rPr>
        <w:t xml:space="preserve">e.g. </w:t>
      </w:r>
      <w:r>
        <w:rPr>
          <w:rFonts w:asciiTheme="minorHAnsi" w:hAnsiTheme="minorHAnsi" w:cstheme="minorHAnsi"/>
        </w:rPr>
        <w:t xml:space="preserve">BMJ) may </w:t>
      </w:r>
      <w:r w:rsidR="007E05CE">
        <w:rPr>
          <w:rFonts w:asciiTheme="minorHAnsi" w:hAnsiTheme="minorHAnsi" w:cstheme="minorHAnsi"/>
        </w:rPr>
        <w:t xml:space="preserve">require </w:t>
      </w:r>
      <w:r>
        <w:rPr>
          <w:rFonts w:asciiTheme="minorHAnsi" w:hAnsiTheme="minorHAnsi" w:cstheme="minorHAnsi"/>
        </w:rPr>
        <w:t xml:space="preserve">their consent form template </w:t>
      </w:r>
      <w:r w:rsidR="007E05CE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used </w:t>
      </w:r>
      <w:r w:rsidR="000D2AF6">
        <w:rPr>
          <w:rFonts w:asciiTheme="minorHAnsi" w:hAnsiTheme="minorHAnsi" w:cstheme="minorHAnsi"/>
        </w:rPr>
        <w:t>for</w:t>
      </w:r>
      <w:r w:rsidR="003477B7">
        <w:rPr>
          <w:rFonts w:asciiTheme="minorHAnsi" w:hAnsiTheme="minorHAnsi" w:cstheme="minorHAnsi"/>
        </w:rPr>
        <w:t xml:space="preserve"> clinical case reports </w:t>
      </w:r>
      <w:r>
        <w:rPr>
          <w:rFonts w:asciiTheme="minorHAnsi" w:hAnsiTheme="minorHAnsi" w:cstheme="minorHAnsi"/>
        </w:rPr>
        <w:t xml:space="preserve">to be considered for publication. </w:t>
      </w:r>
      <w:r w:rsidR="00E935A8">
        <w:rPr>
          <w:rFonts w:asciiTheme="minorHAnsi" w:hAnsiTheme="minorHAnsi" w:cstheme="minorHAnsi"/>
        </w:rPr>
        <w:t xml:space="preserve">Other journals may subject Cabrini’s consent template to internal review before permitting its use. </w:t>
      </w:r>
      <w:r>
        <w:rPr>
          <w:rFonts w:asciiTheme="minorHAnsi" w:hAnsiTheme="minorHAnsi" w:cstheme="minorHAnsi"/>
        </w:rPr>
        <w:t>It is recommend</w:t>
      </w:r>
      <w:r w:rsidR="000D2AF6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requesting clinicians confirm this requirement before obtaining consent from a patient. Patients should not be inconvenienced or burdened by having to consent more than once.</w:t>
      </w:r>
      <w:r w:rsidR="00D60D62">
        <w:rPr>
          <w:rFonts w:asciiTheme="minorHAnsi" w:hAnsiTheme="minorHAnsi" w:cstheme="minorHAnsi"/>
        </w:rPr>
        <w:br/>
      </w:r>
    </w:p>
    <w:p w14:paraId="2772C376" w14:textId="77777777" w:rsidR="00404C14" w:rsidRDefault="00404C14" w:rsidP="00D60D62">
      <w:pPr>
        <w:pStyle w:val="Default"/>
        <w:contextualSpacing/>
        <w:rPr>
          <w:rFonts w:asciiTheme="minorHAnsi" w:hAnsiTheme="minorHAnsi" w:cstheme="minorHAnsi"/>
        </w:rPr>
      </w:pPr>
    </w:p>
    <w:p w14:paraId="15830714" w14:textId="77777777" w:rsidR="00404C14" w:rsidRDefault="00404C14" w:rsidP="00D60D62">
      <w:pPr>
        <w:pStyle w:val="Default"/>
        <w:contextualSpacing/>
        <w:rPr>
          <w:rFonts w:asciiTheme="minorHAnsi" w:hAnsiTheme="minorHAnsi" w:cstheme="minorHAnsi"/>
        </w:rPr>
      </w:pPr>
    </w:p>
    <w:p w14:paraId="02F05F65" w14:textId="77777777" w:rsidR="00D60D62" w:rsidRPr="009817A7" w:rsidRDefault="00D60D62" w:rsidP="00D60D62">
      <w:pPr>
        <w:pStyle w:val="Default"/>
        <w:contextualSpacing/>
        <w:rPr>
          <w:rFonts w:asciiTheme="minorHAnsi" w:hAnsiTheme="minorHAnsi" w:cstheme="minorHAnsi"/>
          <w:b/>
        </w:rPr>
      </w:pPr>
      <w:r w:rsidRPr="009817A7">
        <w:rPr>
          <w:rFonts w:asciiTheme="minorHAnsi" w:hAnsiTheme="minorHAnsi" w:cstheme="minorHAnsi"/>
          <w:b/>
        </w:rPr>
        <w:t>DE-IDENTIFICATION</w:t>
      </w:r>
    </w:p>
    <w:p w14:paraId="5A885C03" w14:textId="77777777" w:rsidR="00D60D62" w:rsidRDefault="00D60D62" w:rsidP="00D60D62">
      <w:pPr>
        <w:pStyle w:val="Defaul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requesting clinician must ensure every measure has been taken to de-identify the patient and subject of the clinical case report. </w:t>
      </w:r>
      <w:proofErr w:type="gramStart"/>
      <w:r>
        <w:rPr>
          <w:rFonts w:asciiTheme="minorHAnsi" w:hAnsiTheme="minorHAnsi" w:cstheme="minorHAnsi"/>
        </w:rPr>
        <w:t xml:space="preserve">Particular </w:t>
      </w:r>
      <w:r w:rsidR="003477B7">
        <w:rPr>
          <w:rFonts w:asciiTheme="minorHAnsi" w:hAnsiTheme="minorHAnsi" w:cstheme="minorHAnsi"/>
        </w:rPr>
        <w:t>care</w:t>
      </w:r>
      <w:proofErr w:type="gramEnd"/>
      <w:r w:rsidR="003477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must be taken with imaging and photos to ensure identities are</w:t>
      </w:r>
      <w:r w:rsidR="003477B7">
        <w:rPr>
          <w:rFonts w:asciiTheme="minorHAnsi" w:hAnsiTheme="minorHAnsi" w:cstheme="minorHAnsi"/>
        </w:rPr>
        <w:t xml:space="preserve"> not</w:t>
      </w:r>
      <w:r>
        <w:rPr>
          <w:rFonts w:asciiTheme="minorHAnsi" w:hAnsiTheme="minorHAnsi" w:cstheme="minorHAnsi"/>
        </w:rPr>
        <w:t xml:space="preserve"> inadvertently revealed.</w:t>
      </w:r>
    </w:p>
    <w:p w14:paraId="3C3ED362" w14:textId="77777777" w:rsidR="00D60D62" w:rsidRDefault="00D60D62" w:rsidP="00D60D62">
      <w:pPr>
        <w:pStyle w:val="Default"/>
        <w:contextualSpacing/>
        <w:rPr>
          <w:rFonts w:asciiTheme="minorHAnsi" w:hAnsiTheme="minorHAnsi" w:cstheme="minorHAnsi"/>
        </w:rPr>
      </w:pPr>
    </w:p>
    <w:p w14:paraId="51401D7C" w14:textId="77777777" w:rsidR="00D60D62" w:rsidRPr="009817A7" w:rsidRDefault="00D60D62" w:rsidP="00D60D62">
      <w:pPr>
        <w:pStyle w:val="Default"/>
        <w:contextualSpacing/>
        <w:rPr>
          <w:rFonts w:asciiTheme="minorHAnsi" w:hAnsiTheme="minorHAnsi" w:cstheme="minorHAnsi"/>
          <w:b/>
        </w:rPr>
      </w:pPr>
      <w:r w:rsidRPr="009817A7">
        <w:rPr>
          <w:rFonts w:asciiTheme="minorHAnsi" w:hAnsiTheme="minorHAnsi" w:cstheme="minorHAnsi"/>
          <w:b/>
        </w:rPr>
        <w:t>STORAGE</w:t>
      </w:r>
    </w:p>
    <w:p w14:paraId="23B7F172" w14:textId="77777777" w:rsidR="00D60D62" w:rsidRDefault="009817A7" w:rsidP="00D60D62">
      <w:pPr>
        <w:pStyle w:val="Defaul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requesting clinician must guarantee clinical information used to support the clinical case report is stored securely </w:t>
      </w:r>
      <w:r w:rsidR="00F07FDB">
        <w:rPr>
          <w:rFonts w:asciiTheme="minorHAnsi" w:hAnsiTheme="minorHAnsi" w:cstheme="minorHAnsi"/>
        </w:rPr>
        <w:t xml:space="preserve">in line with </w:t>
      </w:r>
      <w:hyperlink r:id="rId7" w:history="1">
        <w:r w:rsidR="00F07FDB" w:rsidRPr="00F07FDB">
          <w:rPr>
            <w:rStyle w:val="Hyperlink"/>
            <w:rFonts w:asciiTheme="minorHAnsi" w:hAnsiTheme="minorHAnsi" w:cstheme="minorHAnsi"/>
          </w:rPr>
          <w:t>Cabrini’s Data Management, Sharing and Access Policy</w:t>
        </w:r>
      </w:hyperlink>
      <w:r w:rsidR="00F07F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only accessible to the named authors.</w:t>
      </w:r>
    </w:p>
    <w:p w14:paraId="62B65C42" w14:textId="77777777" w:rsidR="00AB7BA8" w:rsidRPr="00AB7BA8" w:rsidRDefault="00AB7BA8" w:rsidP="002A6820">
      <w:pPr>
        <w:pStyle w:val="Default"/>
        <w:spacing w:after="288"/>
        <w:contextualSpacing/>
        <w:rPr>
          <w:rFonts w:asciiTheme="minorHAnsi" w:hAnsiTheme="minorHAnsi" w:cstheme="minorHAnsi"/>
          <w:b/>
          <w:bCs/>
        </w:rPr>
      </w:pPr>
    </w:p>
    <w:p w14:paraId="08FE3283" w14:textId="77777777" w:rsidR="00E935A8" w:rsidRDefault="001B14F0" w:rsidP="00E935A8">
      <w:pPr>
        <w:pStyle w:val="Default"/>
        <w:spacing w:after="288"/>
        <w:contextualSpacing/>
        <w:rPr>
          <w:rFonts w:asciiTheme="minorHAnsi" w:hAnsiTheme="minorHAnsi" w:cstheme="minorHAnsi"/>
          <w:b/>
          <w:bCs/>
        </w:rPr>
      </w:pPr>
      <w:r w:rsidRPr="00AB7BA8">
        <w:rPr>
          <w:rFonts w:asciiTheme="minorHAnsi" w:hAnsiTheme="minorHAnsi" w:cstheme="minorHAnsi"/>
          <w:b/>
          <w:bCs/>
        </w:rPr>
        <w:t>AUTHORSHIP</w:t>
      </w:r>
    </w:p>
    <w:p w14:paraId="1AE47999" w14:textId="607C497D" w:rsidR="00AB7BA8" w:rsidRDefault="00E935A8" w:rsidP="00E935A8">
      <w:pPr>
        <w:pStyle w:val="Default"/>
        <w:spacing w:after="288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AB7BA8" w:rsidRPr="00AB7BA8">
        <w:rPr>
          <w:rFonts w:asciiTheme="minorHAnsi" w:hAnsiTheme="minorHAnsi" w:cstheme="minorHAnsi"/>
        </w:rPr>
        <w:t xml:space="preserve">efer to the </w:t>
      </w:r>
      <w:hyperlink r:id="rId8" w:history="1">
        <w:r w:rsidR="00AB7BA8" w:rsidRPr="00E935A8">
          <w:rPr>
            <w:rStyle w:val="Hyperlink"/>
            <w:rFonts w:asciiTheme="minorHAnsi" w:hAnsiTheme="minorHAnsi" w:cstheme="minorHAnsi"/>
          </w:rPr>
          <w:t>Cabrini Authorship and Publications for Research Policy</w:t>
        </w:r>
      </w:hyperlink>
      <w:r w:rsidR="00AB7BA8" w:rsidRPr="00AB7BA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B7BA8">
        <w:rPr>
          <w:rFonts w:asciiTheme="minorHAnsi" w:hAnsiTheme="minorHAnsi" w:cstheme="minorHAnsi"/>
        </w:rPr>
        <w:t xml:space="preserve">Authors will be asked to provide a </w:t>
      </w:r>
      <w:proofErr w:type="gramStart"/>
      <w:r w:rsidRPr="00AB7BA8">
        <w:rPr>
          <w:rFonts w:asciiTheme="minorHAnsi" w:hAnsiTheme="minorHAnsi" w:cstheme="minorHAnsi"/>
        </w:rPr>
        <w:t>conflict of interest</w:t>
      </w:r>
      <w:proofErr w:type="gramEnd"/>
      <w:r w:rsidRPr="00AB7BA8">
        <w:rPr>
          <w:rFonts w:asciiTheme="minorHAnsi" w:hAnsiTheme="minorHAnsi" w:cstheme="minorHAnsi"/>
        </w:rPr>
        <w:t xml:space="preserve"> statement during the submission process. Please refer to the journals’ </w:t>
      </w:r>
      <w:r w:rsidR="002A6820">
        <w:rPr>
          <w:rFonts w:asciiTheme="minorHAnsi" w:hAnsiTheme="minorHAnsi" w:cstheme="minorHAnsi"/>
        </w:rPr>
        <w:t xml:space="preserve">individual </w:t>
      </w:r>
      <w:r w:rsidRPr="00AB7BA8">
        <w:rPr>
          <w:rFonts w:asciiTheme="minorHAnsi" w:hAnsiTheme="minorHAnsi" w:cstheme="minorHAnsi"/>
        </w:rPr>
        <w:t>requirement</w:t>
      </w:r>
      <w:r w:rsidR="002A6820">
        <w:rPr>
          <w:rFonts w:asciiTheme="minorHAnsi" w:hAnsiTheme="minorHAnsi" w:cstheme="minorHAnsi"/>
        </w:rPr>
        <w:t>s</w:t>
      </w:r>
      <w:r w:rsidRPr="00AB7BA8">
        <w:rPr>
          <w:rFonts w:asciiTheme="minorHAnsi" w:hAnsiTheme="minorHAnsi" w:cstheme="minorHAnsi"/>
        </w:rPr>
        <w:t>. Submitting authors should ensure they liaise with all co-authors to confirm agreement with the final statement.</w:t>
      </w:r>
      <w:r w:rsidR="003477B7">
        <w:rPr>
          <w:rFonts w:asciiTheme="minorHAnsi" w:hAnsiTheme="minorHAnsi" w:cstheme="minorHAnsi"/>
        </w:rPr>
        <w:t xml:space="preserve"> </w:t>
      </w:r>
      <w:r w:rsidR="00AB7BA8" w:rsidRPr="00AB7BA8">
        <w:rPr>
          <w:rFonts w:asciiTheme="minorHAnsi" w:hAnsiTheme="minorHAnsi" w:cstheme="minorHAnsi"/>
        </w:rPr>
        <w:t>Contributions</w:t>
      </w:r>
      <w:r w:rsidR="00E132E0">
        <w:rPr>
          <w:rFonts w:asciiTheme="minorHAnsi" w:hAnsiTheme="minorHAnsi" w:cstheme="minorHAnsi"/>
        </w:rPr>
        <w:t xml:space="preserve"> </w:t>
      </w:r>
      <w:r w:rsidR="00AB7BA8" w:rsidRPr="00AB7BA8">
        <w:rPr>
          <w:rFonts w:asciiTheme="minorHAnsi" w:hAnsiTheme="minorHAnsi" w:cstheme="minorHAnsi"/>
        </w:rPr>
        <w:t xml:space="preserve">from anyone who does not meet the criteria for authorship should be listed, with permission from the contributor, in an Acknowledgments section. Financial and material support should also be </w:t>
      </w:r>
      <w:r w:rsidR="007E05CE">
        <w:rPr>
          <w:rFonts w:asciiTheme="minorHAnsi" w:hAnsiTheme="minorHAnsi" w:cstheme="minorHAnsi"/>
        </w:rPr>
        <w:t xml:space="preserve">documented. </w:t>
      </w:r>
      <w:r w:rsidR="00AB7BA8" w:rsidRPr="00AB7BA8">
        <w:rPr>
          <w:rFonts w:asciiTheme="minorHAnsi" w:hAnsiTheme="minorHAnsi" w:cstheme="minorHAnsi"/>
        </w:rPr>
        <w:t xml:space="preserve"> </w:t>
      </w:r>
    </w:p>
    <w:p w14:paraId="4A19AA4A" w14:textId="77777777" w:rsidR="002A6820" w:rsidRDefault="002A6820" w:rsidP="00E935A8">
      <w:pPr>
        <w:pStyle w:val="Default"/>
        <w:spacing w:after="288"/>
        <w:contextualSpacing/>
        <w:rPr>
          <w:rFonts w:asciiTheme="minorHAnsi" w:hAnsiTheme="minorHAnsi" w:cstheme="minorHAnsi"/>
        </w:rPr>
      </w:pPr>
    </w:p>
    <w:p w14:paraId="37418AC9" w14:textId="656FED08" w:rsidR="00EF3DB1" w:rsidRPr="00153B2B" w:rsidRDefault="00EF3DB1" w:rsidP="00E935A8">
      <w:pPr>
        <w:pStyle w:val="Default"/>
        <w:spacing w:after="288"/>
        <w:contextualSpacing/>
        <w:rPr>
          <w:rFonts w:asciiTheme="minorHAnsi" w:hAnsiTheme="minorHAnsi" w:cstheme="minorHAnsi"/>
          <w:b/>
          <w:bCs/>
        </w:rPr>
      </w:pPr>
      <w:r w:rsidRPr="00153B2B">
        <w:rPr>
          <w:rFonts w:asciiTheme="minorHAnsi" w:hAnsiTheme="minorHAnsi" w:cstheme="minorHAnsi"/>
          <w:b/>
          <w:bCs/>
        </w:rPr>
        <w:t>DISSEMINATION</w:t>
      </w:r>
      <w:r>
        <w:rPr>
          <w:rFonts w:asciiTheme="minorHAnsi" w:hAnsiTheme="minorHAnsi" w:cstheme="minorHAnsi"/>
          <w:b/>
          <w:bCs/>
        </w:rPr>
        <w:t xml:space="preserve"> / PRESENTATION</w:t>
      </w:r>
    </w:p>
    <w:p w14:paraId="628E61B1" w14:textId="11273B20" w:rsidR="00EF3DB1" w:rsidRPr="00EF3DB1" w:rsidRDefault="00EF3DB1" w:rsidP="00E935A8">
      <w:pPr>
        <w:pStyle w:val="Default"/>
        <w:spacing w:after="288"/>
        <w:contextualSpacing/>
        <w:rPr>
          <w:rFonts w:asciiTheme="minorHAnsi" w:hAnsiTheme="minorHAnsi" w:cstheme="minorHAnsi"/>
        </w:rPr>
      </w:pPr>
      <w:r w:rsidRPr="00EF3DB1">
        <w:rPr>
          <w:rFonts w:asciiTheme="minorHAnsi" w:hAnsiTheme="minorHAnsi" w:cstheme="minorHAnsi"/>
        </w:rPr>
        <w:t>The clinician must make clear to the patient</w:t>
      </w:r>
      <w:r>
        <w:rPr>
          <w:rFonts w:asciiTheme="minorHAnsi" w:hAnsiTheme="minorHAnsi" w:cstheme="minorHAnsi"/>
        </w:rPr>
        <w:t xml:space="preserve"> that the</w:t>
      </w:r>
      <w:r w:rsidRPr="00EF3DB1">
        <w:rPr>
          <w:rFonts w:asciiTheme="minorHAnsi" w:hAnsiTheme="minorHAnsi" w:cstheme="minorHAnsi"/>
        </w:rPr>
        <w:t xml:space="preserve"> </w:t>
      </w:r>
      <w:r w:rsidRPr="00153B2B">
        <w:rPr>
          <w:rFonts w:asciiTheme="minorHAnsi" w:hAnsiTheme="minorHAnsi" w:cstheme="minorHAnsi"/>
        </w:rPr>
        <w:t xml:space="preserve">article will be edited by the publisher to meet publishing standards and that the publication is available on the journal website and accessible worldwide. </w:t>
      </w:r>
      <w:r w:rsidR="000D2AF6">
        <w:rPr>
          <w:rFonts w:asciiTheme="minorHAnsi" w:hAnsiTheme="minorHAnsi" w:cstheme="minorHAnsi"/>
        </w:rPr>
        <w:t>Patients must be made aware t</w:t>
      </w:r>
      <w:r w:rsidRPr="00153B2B">
        <w:rPr>
          <w:rFonts w:asciiTheme="minorHAnsi" w:hAnsiTheme="minorHAnsi" w:cstheme="minorHAnsi"/>
        </w:rPr>
        <w:t>his publication may be used in other publications or products of the journal, or by other publishers to which the journal has licenced its contents. Th</w:t>
      </w:r>
      <w:r>
        <w:rPr>
          <w:rFonts w:asciiTheme="minorHAnsi" w:hAnsiTheme="minorHAnsi" w:cstheme="minorHAnsi"/>
        </w:rPr>
        <w:t xml:space="preserve">e clinician must ensure the patient is aware that dissemination may </w:t>
      </w:r>
      <w:r w:rsidRPr="00153B2B">
        <w:rPr>
          <w:rFonts w:asciiTheme="minorHAnsi" w:hAnsiTheme="minorHAnsi" w:cstheme="minorHAnsi"/>
        </w:rPr>
        <w:t>include possible presentation or discussion of the case report at a conference</w:t>
      </w:r>
      <w:r>
        <w:rPr>
          <w:rFonts w:asciiTheme="minorHAnsi" w:hAnsiTheme="minorHAnsi" w:cstheme="minorHAnsi"/>
        </w:rPr>
        <w:t>.</w:t>
      </w:r>
    </w:p>
    <w:p w14:paraId="665D0590" w14:textId="77777777" w:rsidR="00EF3DB1" w:rsidRDefault="00EF3DB1" w:rsidP="00E935A8">
      <w:pPr>
        <w:pStyle w:val="Default"/>
        <w:spacing w:after="288"/>
        <w:contextualSpacing/>
        <w:rPr>
          <w:rFonts w:asciiTheme="minorHAnsi" w:hAnsiTheme="minorHAnsi" w:cstheme="minorHAnsi"/>
        </w:rPr>
      </w:pPr>
    </w:p>
    <w:p w14:paraId="55A6AC34" w14:textId="77777777" w:rsidR="002A6820" w:rsidRPr="002A6820" w:rsidRDefault="002A6820" w:rsidP="00E935A8">
      <w:pPr>
        <w:pStyle w:val="Default"/>
        <w:spacing w:after="288"/>
        <w:contextualSpacing/>
        <w:rPr>
          <w:rFonts w:asciiTheme="minorHAnsi" w:hAnsiTheme="minorHAnsi" w:cstheme="minorHAnsi"/>
          <w:b/>
        </w:rPr>
      </w:pPr>
      <w:r w:rsidRPr="002A6820">
        <w:rPr>
          <w:rFonts w:asciiTheme="minorHAnsi" w:hAnsiTheme="minorHAnsi" w:cstheme="minorHAnsi"/>
          <w:b/>
        </w:rPr>
        <w:t>MORE INFORMATION</w:t>
      </w:r>
    </w:p>
    <w:p w14:paraId="76292021" w14:textId="77777777" w:rsidR="002A6820" w:rsidRPr="00AB7BA8" w:rsidRDefault="002A6820" w:rsidP="00E935A8">
      <w:pPr>
        <w:pStyle w:val="Default"/>
        <w:spacing w:after="288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 CRGO via </w:t>
      </w:r>
      <w:hyperlink r:id="rId9" w:history="1">
        <w:r w:rsidRPr="00877C9B">
          <w:rPr>
            <w:rStyle w:val="Hyperlink"/>
            <w:rFonts w:asciiTheme="minorHAnsi" w:hAnsiTheme="minorHAnsi" w:cstheme="minorHAnsi"/>
          </w:rPr>
          <w:t>researchgovernance@cabrini.com.au</w:t>
        </w:r>
      </w:hyperlink>
      <w:r>
        <w:rPr>
          <w:rFonts w:asciiTheme="minorHAnsi" w:hAnsiTheme="minorHAnsi" w:cstheme="minorHAnsi"/>
        </w:rPr>
        <w:t xml:space="preserve"> or </w:t>
      </w:r>
      <w:proofErr w:type="spellStart"/>
      <w:r>
        <w:rPr>
          <w:rFonts w:asciiTheme="minorHAnsi" w:hAnsiTheme="minorHAnsi" w:cstheme="minorHAnsi"/>
        </w:rPr>
        <w:t>tel</w:t>
      </w:r>
      <w:proofErr w:type="spellEnd"/>
      <w:r>
        <w:rPr>
          <w:rFonts w:asciiTheme="minorHAnsi" w:hAnsiTheme="minorHAnsi" w:cstheme="minorHAnsi"/>
        </w:rPr>
        <w:t xml:space="preserve">: (03) 9508 3412. Cabrini Research resources and forms can be downloaded </w:t>
      </w:r>
      <w:hyperlink r:id="rId10" w:history="1">
        <w:r w:rsidRPr="002A6820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>.</w:t>
      </w:r>
    </w:p>
    <w:p w14:paraId="22C278A4" w14:textId="77777777" w:rsidR="00AB7BA8" w:rsidRPr="00AB7BA8" w:rsidRDefault="00AB7BA8" w:rsidP="00E132E0">
      <w:pPr>
        <w:pStyle w:val="Default"/>
        <w:spacing w:after="288"/>
        <w:contextualSpacing/>
        <w:rPr>
          <w:rFonts w:asciiTheme="minorHAnsi" w:hAnsiTheme="minorHAnsi" w:cstheme="minorHAnsi"/>
        </w:rPr>
      </w:pPr>
    </w:p>
    <w:p w14:paraId="199AFFBA" w14:textId="77777777" w:rsidR="00AB7BA8" w:rsidRPr="00E935A8" w:rsidRDefault="00E935A8" w:rsidP="003477B7">
      <w:pPr>
        <w:pStyle w:val="Default"/>
        <w:spacing w:after="288"/>
        <w:contextualSpacing/>
        <w:jc w:val="center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E935A8">
        <w:rPr>
          <w:rFonts w:asciiTheme="minorHAnsi" w:hAnsiTheme="minorHAnsi" w:cstheme="minorHAnsi"/>
          <w:b/>
          <w:bCs/>
          <w:color w:val="C00000"/>
          <w:sz w:val="20"/>
          <w:szCs w:val="20"/>
        </w:rPr>
        <w:t>Acknowledgements</w:t>
      </w:r>
    </w:p>
    <w:p w14:paraId="6A51355F" w14:textId="77777777" w:rsidR="00AB7BA8" w:rsidRDefault="00E935A8" w:rsidP="003477B7">
      <w:pPr>
        <w:pStyle w:val="Default"/>
        <w:spacing w:after="288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E935A8">
        <w:rPr>
          <w:rFonts w:asciiTheme="minorHAnsi" w:hAnsiTheme="minorHAnsi" w:cstheme="minorHAnsi"/>
          <w:sz w:val="20"/>
          <w:szCs w:val="20"/>
        </w:rPr>
        <w:t>Royal Children’s Hospital</w:t>
      </w:r>
      <w:r w:rsidR="00AB7BA8" w:rsidRPr="00E935A8">
        <w:rPr>
          <w:rFonts w:asciiTheme="minorHAnsi" w:hAnsiTheme="minorHAnsi" w:cstheme="minorHAnsi"/>
          <w:sz w:val="20"/>
          <w:szCs w:val="20"/>
        </w:rPr>
        <w:t xml:space="preserve"> Case Report Guideline</w:t>
      </w:r>
      <w:r w:rsidR="003477B7">
        <w:rPr>
          <w:rFonts w:asciiTheme="minorHAnsi" w:hAnsiTheme="minorHAnsi" w:cstheme="minorHAnsi"/>
          <w:sz w:val="20"/>
          <w:szCs w:val="20"/>
        </w:rPr>
        <w:t>, Alfred Health Consent for Publication of Case Study Reports,</w:t>
      </w:r>
    </w:p>
    <w:p w14:paraId="48795D32" w14:textId="5FE54CEE" w:rsidR="00AB7BA8" w:rsidRPr="00E935A8" w:rsidRDefault="00AB7BA8" w:rsidP="003477B7">
      <w:pPr>
        <w:pStyle w:val="Default"/>
        <w:spacing w:after="288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E935A8">
        <w:rPr>
          <w:rFonts w:asciiTheme="minorHAnsi" w:hAnsiTheme="minorHAnsi" w:cstheme="minorHAnsi"/>
          <w:sz w:val="20"/>
          <w:szCs w:val="20"/>
        </w:rPr>
        <w:t>BMJ Case Reports Guidance</w:t>
      </w:r>
      <w:r w:rsidR="00656078">
        <w:rPr>
          <w:rFonts w:asciiTheme="minorHAnsi" w:hAnsiTheme="minorHAnsi" w:cstheme="minorHAnsi"/>
          <w:sz w:val="20"/>
          <w:szCs w:val="20"/>
        </w:rPr>
        <w:t>, Epworth Healthcare Case Study Consent</w:t>
      </w:r>
    </w:p>
    <w:p w14:paraId="72F91F47" w14:textId="77777777" w:rsidR="001D2BB6" w:rsidRDefault="001D2BB6"/>
    <w:sectPr w:rsidR="001D2BB6" w:rsidSect="00C36AF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A529" w14:textId="77777777" w:rsidR="00AB7BA8" w:rsidRDefault="00AB7BA8" w:rsidP="00AB7BA8">
      <w:pPr>
        <w:spacing w:after="0" w:line="240" w:lineRule="auto"/>
      </w:pPr>
      <w:r>
        <w:separator/>
      </w:r>
    </w:p>
  </w:endnote>
  <w:endnote w:type="continuationSeparator" w:id="0">
    <w:p w14:paraId="53A958BA" w14:textId="77777777" w:rsidR="00AB7BA8" w:rsidRDefault="00AB7BA8" w:rsidP="00AB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3693" w14:textId="1B1C1B13" w:rsidR="002A6820" w:rsidRPr="002A6820" w:rsidRDefault="002A6820" w:rsidP="002A6820">
    <w:pPr>
      <w:pStyle w:val="Footer"/>
      <w:jc w:val="center"/>
      <w:rPr>
        <w:b/>
        <w:color w:val="C00000"/>
        <w:sz w:val="18"/>
        <w:szCs w:val="18"/>
      </w:rPr>
    </w:pPr>
    <w:r w:rsidRPr="002A6820">
      <w:rPr>
        <w:b/>
        <w:color w:val="C00000"/>
        <w:sz w:val="18"/>
        <w:szCs w:val="18"/>
      </w:rPr>
      <w:t xml:space="preserve">Cabrini Research Requirements for Clinical Case Reports v1.0 </w:t>
    </w:r>
    <w:r w:rsidR="00EF3DB1">
      <w:rPr>
        <w:b/>
        <w:color w:val="C00000"/>
        <w:sz w:val="18"/>
        <w:szCs w:val="18"/>
      </w:rPr>
      <w:t>7 July</w:t>
    </w:r>
    <w:r w:rsidRPr="002A6820">
      <w:rPr>
        <w:b/>
        <w:color w:val="C00000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B040" w14:textId="77777777" w:rsidR="00AB7BA8" w:rsidRDefault="00AB7BA8" w:rsidP="00AB7BA8">
      <w:pPr>
        <w:spacing w:after="0" w:line="240" w:lineRule="auto"/>
      </w:pPr>
      <w:r>
        <w:separator/>
      </w:r>
    </w:p>
  </w:footnote>
  <w:footnote w:type="continuationSeparator" w:id="0">
    <w:p w14:paraId="4872B7EB" w14:textId="77777777" w:rsidR="00AB7BA8" w:rsidRDefault="00AB7BA8" w:rsidP="00AB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47AA" w14:textId="5D8308E8" w:rsidR="009817A7" w:rsidRDefault="00AB7BA8" w:rsidP="009817A7">
    <w:pPr>
      <w:pStyle w:val="Header"/>
      <w:jc w:val="center"/>
      <w:rPr>
        <w:color w:val="C00000"/>
        <w:sz w:val="40"/>
        <w:szCs w:val="40"/>
      </w:rPr>
    </w:pPr>
    <w:r w:rsidRPr="009817A7">
      <w:rPr>
        <w:noProof/>
        <w:color w:val="C00000"/>
        <w:sz w:val="40"/>
        <w:szCs w:val="40"/>
        <w:lang w:eastAsia="en-AU"/>
      </w:rPr>
      <w:drawing>
        <wp:anchor distT="0" distB="0" distL="114300" distR="114300" simplePos="0" relativeHeight="251657216" behindDoc="1" locked="0" layoutInCell="1" allowOverlap="1" wp14:anchorId="54A04FBD" wp14:editId="251FDB01">
          <wp:simplePos x="0" y="0"/>
          <wp:positionH relativeFrom="margin">
            <wp:align>right</wp:align>
          </wp:positionH>
          <wp:positionV relativeFrom="paragraph">
            <wp:posOffset>-227330</wp:posOffset>
          </wp:positionV>
          <wp:extent cx="1730553" cy="472883"/>
          <wp:effectExtent l="0" t="0" r="3175" b="3810"/>
          <wp:wrapNone/>
          <wp:docPr id="3" name="Picture 3" descr="R:\ETHICS\Logos\Cabrini Resear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ETHICS\Logos\Cabrini Resear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553" cy="47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7A7" w:rsidRPr="009817A7">
      <w:rPr>
        <w:color w:val="C00000"/>
        <w:sz w:val="40"/>
        <w:szCs w:val="40"/>
      </w:rPr>
      <w:t xml:space="preserve">CABRINI RESEARCH </w:t>
    </w:r>
  </w:p>
  <w:p w14:paraId="48AE2856" w14:textId="77777777" w:rsidR="00AB7BA8" w:rsidRPr="009817A7" w:rsidRDefault="009817A7" w:rsidP="009817A7">
    <w:pPr>
      <w:pStyle w:val="Header"/>
      <w:jc w:val="center"/>
      <w:rPr>
        <w:color w:val="C00000"/>
        <w:sz w:val="40"/>
        <w:szCs w:val="40"/>
      </w:rPr>
    </w:pPr>
    <w:r w:rsidRPr="009817A7">
      <w:rPr>
        <w:color w:val="C00000"/>
        <w:sz w:val="40"/>
        <w:szCs w:val="40"/>
      </w:rPr>
      <w:t xml:space="preserve">REQUIREMENTS FOR CLINICAL CASE REPORTS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BD5"/>
    <w:multiLevelType w:val="hybridMultilevel"/>
    <w:tmpl w:val="DB5253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EB43C9"/>
    <w:multiLevelType w:val="hybridMultilevel"/>
    <w:tmpl w:val="EE7481E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6581D67"/>
    <w:multiLevelType w:val="hybridMultilevel"/>
    <w:tmpl w:val="5A2CB8EE"/>
    <w:lvl w:ilvl="0" w:tplc="95AA05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46662F"/>
    <w:multiLevelType w:val="hybridMultilevel"/>
    <w:tmpl w:val="BB7060E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37733714">
    <w:abstractNumId w:val="1"/>
  </w:num>
  <w:num w:numId="2" w16cid:durableId="1266887938">
    <w:abstractNumId w:val="3"/>
  </w:num>
  <w:num w:numId="3" w16cid:durableId="1406762509">
    <w:abstractNumId w:val="2"/>
  </w:num>
  <w:num w:numId="4" w16cid:durableId="172864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A8"/>
    <w:rsid w:val="000D2AF6"/>
    <w:rsid w:val="00153B2B"/>
    <w:rsid w:val="00155533"/>
    <w:rsid w:val="001B14F0"/>
    <w:rsid w:val="001D2BB6"/>
    <w:rsid w:val="002A6820"/>
    <w:rsid w:val="003477B7"/>
    <w:rsid w:val="00404C14"/>
    <w:rsid w:val="00413147"/>
    <w:rsid w:val="004133DA"/>
    <w:rsid w:val="0045024B"/>
    <w:rsid w:val="004B2DDA"/>
    <w:rsid w:val="00656078"/>
    <w:rsid w:val="00686827"/>
    <w:rsid w:val="006C1691"/>
    <w:rsid w:val="00771F5C"/>
    <w:rsid w:val="007E05CE"/>
    <w:rsid w:val="00830459"/>
    <w:rsid w:val="0090197A"/>
    <w:rsid w:val="009560B2"/>
    <w:rsid w:val="00977CD7"/>
    <w:rsid w:val="009817A7"/>
    <w:rsid w:val="00A11A7B"/>
    <w:rsid w:val="00AB7BA8"/>
    <w:rsid w:val="00C36AFC"/>
    <w:rsid w:val="00C7433F"/>
    <w:rsid w:val="00C80417"/>
    <w:rsid w:val="00D60D62"/>
    <w:rsid w:val="00E12F04"/>
    <w:rsid w:val="00E132E0"/>
    <w:rsid w:val="00E27AED"/>
    <w:rsid w:val="00E935A8"/>
    <w:rsid w:val="00EF3DB1"/>
    <w:rsid w:val="00F0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DBB6EF"/>
  <w15:chartTrackingRefBased/>
  <w15:docId w15:val="{59C800E1-7DAC-43AB-84D4-982701A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7BA8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7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BA8"/>
  </w:style>
  <w:style w:type="paragraph" w:styleId="Footer">
    <w:name w:val="footer"/>
    <w:basedOn w:val="Normal"/>
    <w:link w:val="FooterChar"/>
    <w:uiPriority w:val="99"/>
    <w:unhideWhenUsed/>
    <w:rsid w:val="00AB7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A8"/>
  </w:style>
  <w:style w:type="character" w:styleId="Hyperlink">
    <w:name w:val="Hyperlink"/>
    <w:basedOn w:val="DefaultParagraphFont"/>
    <w:uiPriority w:val="99"/>
    <w:unhideWhenUsed/>
    <w:rsid w:val="00E935A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019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4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C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brini.com.au/app/uploads/Authorship-and-Publications-for-Research-Polic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brini.com.au/app/uploads/Cabrini-research-data-management-access-sharing-policy-Aug2024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brini.com.au/research/research-with-us/ethics-and-govern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archgovernance@cabrini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Tonkin, Michele</dc:creator>
  <cp:keywords/>
  <dc:description/>
  <cp:lastModifiedBy>Tonkin, Michele</cp:lastModifiedBy>
  <cp:revision>9</cp:revision>
  <dcterms:created xsi:type="dcterms:W3CDTF">2025-03-03T22:53:00Z</dcterms:created>
  <dcterms:modified xsi:type="dcterms:W3CDTF">2025-07-11T10:02:00Z</dcterms:modified>
</cp:coreProperties>
</file>